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24D7A">
      <w:pPr>
        <w:keepNext/>
        <w:keepLines/>
        <w:pageBreakBefore/>
        <w:jc w:val="center"/>
        <w:outlineLvl w:val="0"/>
        <w:rPr>
          <w:rFonts w:hint="eastAsia"/>
          <w:b/>
          <w:sz w:val="44"/>
          <w:szCs w:val="44"/>
          <w:highlight w:val="none"/>
        </w:rPr>
      </w:pPr>
      <w:bookmarkStart w:id="0" w:name="_Toc475"/>
      <w:r>
        <w:rPr>
          <w:rFonts w:hint="eastAsia"/>
          <w:b/>
          <w:sz w:val="44"/>
          <w:szCs w:val="44"/>
          <w:highlight w:val="none"/>
        </w:rPr>
        <w:t>采购需求</w:t>
      </w:r>
      <w:bookmarkEnd w:id="0"/>
    </w:p>
    <w:p w14:paraId="0E1C303C">
      <w:pPr>
        <w:spacing w:before="120" w:after="120" w:line="480" w:lineRule="exact"/>
        <w:rPr>
          <w:rFonts w:hint="eastAsia" w:cs="Courier New"/>
          <w:sz w:val="24"/>
          <w:szCs w:val="24"/>
        </w:rPr>
      </w:pPr>
      <w:r>
        <w:rPr>
          <w:rFonts w:hint="eastAsia" w:cs="Courier New"/>
          <w:sz w:val="24"/>
          <w:szCs w:val="24"/>
        </w:rPr>
        <w:t>项目属性：服务类项目</w:t>
      </w:r>
    </w:p>
    <w:p w14:paraId="22B1FFC4">
      <w:pPr>
        <w:widowControl/>
        <w:jc w:val="left"/>
        <w:rPr>
          <w:rFonts w:hint="eastAsia" w:eastAsia="宋体" w:cs="Courier New"/>
          <w:sz w:val="24"/>
          <w:szCs w:val="24"/>
        </w:rPr>
      </w:pPr>
      <w:r>
        <w:rPr>
          <w:rFonts w:hint="eastAsia" w:cs="Courier New"/>
          <w:sz w:val="24"/>
          <w:szCs w:val="24"/>
        </w:rPr>
        <w:t>本项目采购标的对应的中小</w:t>
      </w:r>
      <w:bookmarkStart w:id="1" w:name="_GoBack"/>
      <w:bookmarkEnd w:id="1"/>
      <w:r>
        <w:rPr>
          <w:rFonts w:hint="eastAsia" w:cs="Courier New"/>
          <w:sz w:val="24"/>
          <w:szCs w:val="24"/>
        </w:rPr>
        <w:t>企业划分标准所属行业</w:t>
      </w:r>
      <w:r>
        <w:rPr>
          <w:rFonts w:hint="eastAsia" w:eastAsia="宋体" w:cs="Courier New"/>
          <w:sz w:val="24"/>
          <w:szCs w:val="24"/>
        </w:rPr>
        <w:t>：其他未列明行业。</w:t>
      </w:r>
    </w:p>
    <w:p w14:paraId="355B1047">
      <w:pPr>
        <w:spacing w:before="120" w:after="120" w:line="480" w:lineRule="exact"/>
        <w:rPr>
          <w:rFonts w:hint="eastAsia" w:cs="Courier New"/>
          <w:sz w:val="24"/>
          <w:szCs w:val="24"/>
        </w:rPr>
      </w:pPr>
      <w:r>
        <w:rPr>
          <w:rFonts w:hint="eastAsia" w:eastAsia="宋体" w:cs="Courier New"/>
          <w:sz w:val="24"/>
          <w:szCs w:val="24"/>
        </w:rPr>
        <w:t>本项目不接受进口产品</w:t>
      </w:r>
      <w:r>
        <w:rPr>
          <w:rFonts w:hint="eastAsia" w:cs="Courier New"/>
          <w:sz w:val="24"/>
          <w:szCs w:val="24"/>
        </w:rPr>
        <w:t>。</w:t>
      </w:r>
    </w:p>
    <w:p w14:paraId="4A57BDCB">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auto"/>
        <w:jc w:val="left"/>
        <w:textAlignment w:val="auto"/>
        <w:rPr>
          <w:rFonts w:hint="eastAsia" w:eastAsia="Times New Roman" w:cs="Times New Roman"/>
          <w:b/>
          <w:bCs/>
          <w:sz w:val="32"/>
          <w:szCs w:val="32"/>
        </w:rPr>
      </w:pPr>
      <w:r>
        <w:rPr>
          <w:rFonts w:hint="eastAsia" w:eastAsia="Times New Roman" w:cs="Times New Roman"/>
          <w:b/>
          <w:bCs/>
          <w:sz w:val="32"/>
          <w:szCs w:val="32"/>
        </w:rPr>
        <w:t>一、项目说明</w:t>
      </w:r>
    </w:p>
    <w:p w14:paraId="1A2A40A2">
      <w:pPr>
        <w:spacing w:line="500" w:lineRule="exact"/>
        <w:ind w:firstLine="480"/>
        <w:jc w:val="left"/>
        <w:rPr>
          <w:rFonts w:hint="default" w:eastAsia="宋体"/>
          <w:sz w:val="24"/>
          <w:szCs w:val="24"/>
          <w:lang w:val="en-US" w:eastAsia="zh-CN"/>
        </w:rPr>
      </w:pPr>
      <w:r>
        <w:rPr>
          <w:rFonts w:hint="eastAsia" w:eastAsia="Times New Roman"/>
          <w:sz w:val="24"/>
          <w:szCs w:val="24"/>
        </w:rPr>
        <w:t>1.项目名称：</w:t>
      </w:r>
      <w:r>
        <w:rPr>
          <w:rFonts w:hint="eastAsia" w:ascii="Times New Roman" w:hAnsi="Times New Roman"/>
          <w:sz w:val="24"/>
          <w:szCs w:val="24"/>
        </w:rPr>
        <w:t>泗洪县洪泽湖周边滞洪区划界及建设管理研究</w:t>
      </w:r>
      <w:r>
        <w:rPr>
          <w:rFonts w:hint="eastAsia" w:ascii="Times New Roman" w:hAnsi="Times New Roman"/>
          <w:sz w:val="24"/>
          <w:szCs w:val="24"/>
          <w:lang w:val="en-US" w:eastAsia="zh-CN"/>
        </w:rPr>
        <w:t>服务采购项目</w:t>
      </w:r>
    </w:p>
    <w:p w14:paraId="2737F5CE">
      <w:pPr>
        <w:pStyle w:val="6"/>
        <w:spacing w:line="500" w:lineRule="exact"/>
        <w:ind w:firstLine="480"/>
        <w:rPr>
          <w:rFonts w:hint="eastAsia" w:ascii="Calibri" w:hAnsi="Calibri" w:eastAsia="Times New Roman" w:cs="Times New Roman"/>
          <w:sz w:val="24"/>
          <w:szCs w:val="24"/>
          <w:highlight w:val="none"/>
        </w:rPr>
      </w:pPr>
      <w:r>
        <w:rPr>
          <w:rFonts w:hint="eastAsia" w:ascii="Calibri" w:hAnsi="Calibri" w:cs="Times New Roman"/>
          <w:sz w:val="24"/>
          <w:szCs w:val="24"/>
          <w:highlight w:val="none"/>
        </w:rPr>
        <w:t>2.</w:t>
      </w:r>
      <w:r>
        <w:rPr>
          <w:rFonts w:hint="eastAsia" w:ascii="Calibri" w:hAnsi="Calibri" w:eastAsia="Times New Roman" w:cs="Times New Roman"/>
          <w:sz w:val="24"/>
          <w:szCs w:val="24"/>
          <w:highlight w:val="none"/>
        </w:rPr>
        <w:t>付款方式：</w:t>
      </w:r>
    </w:p>
    <w:p w14:paraId="01B09FF9">
      <w:pPr>
        <w:widowControl/>
        <w:adjustRightInd w:val="0"/>
        <w:snapToGrid w:val="0"/>
        <w:spacing w:line="480" w:lineRule="exact"/>
        <w:ind w:firstLine="480" w:firstLineChars="200"/>
        <w:rPr>
          <w:rFonts w:hint="eastAsia" w:eastAsia="宋体" w:cs="Times New Roman"/>
          <w:sz w:val="24"/>
          <w:szCs w:val="24"/>
          <w:highlight w:val="none"/>
        </w:rPr>
      </w:pPr>
      <w:r>
        <w:rPr>
          <w:rFonts w:hint="eastAsia" w:eastAsia="宋体" w:cs="Times New Roman"/>
          <w:sz w:val="24"/>
          <w:szCs w:val="24"/>
          <w:highlight w:val="none"/>
        </w:rPr>
        <w:t>预付款：合同金额的</w:t>
      </w:r>
      <w:r>
        <w:rPr>
          <w:rFonts w:hint="eastAsia" w:eastAsia="宋体" w:cs="Times New Roman"/>
          <w:sz w:val="24"/>
          <w:szCs w:val="24"/>
          <w:highlight w:val="none"/>
          <w:lang w:val="en-US" w:eastAsia="zh-CN"/>
        </w:rPr>
        <w:t>3</w:t>
      </w:r>
      <w:r>
        <w:rPr>
          <w:rFonts w:hint="eastAsia" w:eastAsia="宋体" w:cs="Times New Roman"/>
          <w:sz w:val="24"/>
          <w:szCs w:val="24"/>
          <w:highlight w:val="none"/>
        </w:rPr>
        <w:t>0%，合同签订后</w:t>
      </w:r>
      <w:r>
        <w:rPr>
          <w:rFonts w:hint="eastAsia" w:eastAsia="宋体" w:cs="Times New Roman"/>
          <w:sz w:val="24"/>
          <w:szCs w:val="24"/>
          <w:highlight w:val="none"/>
          <w:lang w:eastAsia="zh-CN"/>
        </w:rPr>
        <w:t>，</w:t>
      </w:r>
      <w:r>
        <w:rPr>
          <w:rFonts w:hint="default" w:eastAsia="宋体" w:cs="Times New Roman"/>
          <w:sz w:val="24"/>
          <w:szCs w:val="24"/>
          <w:highlight w:val="none"/>
          <w:lang w:val="en-US" w:eastAsia="zh-CN"/>
        </w:rPr>
        <w:t>自收到供应商发票后10个工作日内</w:t>
      </w:r>
      <w:r>
        <w:rPr>
          <w:rFonts w:hint="eastAsia" w:eastAsia="宋体" w:cs="Times New Roman"/>
          <w:sz w:val="24"/>
          <w:szCs w:val="24"/>
          <w:highlight w:val="none"/>
        </w:rPr>
        <w:t>支付；</w:t>
      </w:r>
    </w:p>
    <w:p w14:paraId="2F6B400C">
      <w:pPr>
        <w:widowControl/>
        <w:spacing w:line="440" w:lineRule="exact"/>
        <w:ind w:firstLine="480"/>
        <w:jc w:val="left"/>
        <w:rPr>
          <w:rFonts w:hint="default" w:eastAsia="宋体" w:cs="Times New Roman"/>
          <w:sz w:val="24"/>
          <w:szCs w:val="24"/>
          <w:highlight w:val="none"/>
          <w:lang w:val="en-US"/>
        </w:rPr>
      </w:pPr>
      <w:r>
        <w:rPr>
          <w:rFonts w:hint="eastAsia" w:eastAsia="宋体" w:cs="Times New Roman"/>
          <w:sz w:val="24"/>
          <w:szCs w:val="24"/>
          <w:highlight w:val="none"/>
        </w:rPr>
        <w:t>进度款：</w:t>
      </w:r>
      <w:r>
        <w:rPr>
          <w:rFonts w:hint="eastAsia" w:ascii="宋体" w:hAnsi="宋体" w:eastAsia="宋体" w:cs="宋体"/>
          <w:color w:val="000000"/>
          <w:sz w:val="24"/>
          <w:szCs w:val="24"/>
          <w:highlight w:val="none"/>
          <w:lang w:val="en-US" w:eastAsia="zh-CN" w:bidi="ar-SA"/>
        </w:rPr>
        <w:t>编制完成《泗洪县洪泽湖周边滞洪区划界及建设管理研究报告》及相关成果、图件</w:t>
      </w:r>
      <w:r>
        <w:rPr>
          <w:rFonts w:hint="default" w:ascii="宋体" w:hAnsi="宋体" w:cs="宋体"/>
          <w:color w:val="auto"/>
          <w:sz w:val="24"/>
          <w:highlight w:val="none"/>
          <w:lang w:val="en-US" w:eastAsia="zh-CN" w:bidi="ar"/>
        </w:rPr>
        <w:t>并经</w:t>
      </w:r>
      <w:r>
        <w:rPr>
          <w:rFonts w:hint="eastAsia" w:ascii="宋体" w:hAnsi="宋体" w:cs="宋体"/>
          <w:color w:val="auto"/>
          <w:sz w:val="24"/>
          <w:highlight w:val="none"/>
          <w:lang w:val="en-US" w:eastAsia="zh-CN" w:bidi="ar"/>
        </w:rPr>
        <w:t>甲方验收合格后</w:t>
      </w:r>
      <w:r>
        <w:rPr>
          <w:rFonts w:hint="default" w:ascii="宋体" w:hAnsi="宋体" w:cs="宋体"/>
          <w:color w:val="auto"/>
          <w:sz w:val="24"/>
          <w:highlight w:val="none"/>
          <w:lang w:val="en-US" w:eastAsia="zh-CN" w:bidi="ar"/>
        </w:rPr>
        <w:t>，支付</w:t>
      </w:r>
      <w:r>
        <w:rPr>
          <w:rFonts w:hint="eastAsia" w:ascii="宋体" w:hAnsi="宋体" w:cs="宋体"/>
          <w:color w:val="auto"/>
          <w:sz w:val="24"/>
          <w:highlight w:val="none"/>
          <w:lang w:val="en-US" w:eastAsia="zh-CN" w:bidi="ar"/>
        </w:rPr>
        <w:t>至</w:t>
      </w:r>
      <w:r>
        <w:rPr>
          <w:rFonts w:hint="default" w:ascii="宋体" w:hAnsi="宋体" w:cs="宋体"/>
          <w:color w:val="auto"/>
          <w:sz w:val="24"/>
          <w:highlight w:val="none"/>
          <w:lang w:val="en-US" w:eastAsia="zh-CN" w:bidi="ar"/>
        </w:rPr>
        <w:t>合同</w:t>
      </w:r>
      <w:r>
        <w:rPr>
          <w:rFonts w:hint="eastAsia" w:ascii="宋体" w:hAnsi="宋体" w:cs="宋体"/>
          <w:color w:val="auto"/>
          <w:sz w:val="24"/>
          <w:highlight w:val="none"/>
          <w:lang w:val="en-US" w:eastAsia="zh-CN" w:bidi="ar"/>
        </w:rPr>
        <w:t>价款的80%</w:t>
      </w:r>
      <w:r>
        <w:rPr>
          <w:rFonts w:hint="default" w:ascii="宋体" w:hAnsi="宋体" w:cs="宋体"/>
          <w:color w:val="auto"/>
          <w:sz w:val="24"/>
          <w:highlight w:val="none"/>
          <w:lang w:val="en-US" w:eastAsia="zh-CN" w:bidi="ar"/>
        </w:rPr>
        <w:t>；</w:t>
      </w:r>
      <w:r>
        <w:rPr>
          <w:rFonts w:hint="eastAsia" w:ascii="宋体" w:hAnsi="宋体" w:cs="宋体"/>
          <w:color w:val="auto"/>
          <w:sz w:val="24"/>
          <w:highlight w:val="none"/>
          <w:lang w:val="en-US" w:eastAsia="zh-CN" w:bidi="ar"/>
        </w:rPr>
        <w:t>一年后付清余款。</w:t>
      </w:r>
    </w:p>
    <w:p w14:paraId="2AFDBD8D">
      <w:pPr>
        <w:spacing w:line="500" w:lineRule="exact"/>
        <w:ind w:firstLine="480"/>
        <w:jc w:val="left"/>
        <w:rPr>
          <w:rFonts w:hint="eastAsia" w:ascii="Times New Roman" w:hAnsi="Times New Roman"/>
          <w:sz w:val="24"/>
          <w:szCs w:val="24"/>
          <w:highlight w:val="none"/>
        </w:rPr>
      </w:pPr>
      <w:r>
        <w:rPr>
          <w:rFonts w:hint="eastAsia" w:ascii="Times New Roman" w:hAnsi="Times New Roman"/>
          <w:sz w:val="24"/>
          <w:szCs w:val="24"/>
          <w:highlight w:val="none"/>
        </w:rPr>
        <w:t>注：在签订合同时，供应商明确表示无需预付款或者主动要求降低预付款比例的，采购人可不适用预付规定；支付方式为:转账或数字人民币等方式。</w:t>
      </w:r>
    </w:p>
    <w:p w14:paraId="648BDD65">
      <w:pPr>
        <w:spacing w:line="500" w:lineRule="exact"/>
        <w:ind w:firstLine="480" w:firstLineChars="200"/>
        <w:jc w:val="left"/>
        <w:rPr>
          <w:rFonts w:ascii="Times New Roman"/>
          <w:color w:val="000000"/>
          <w:sz w:val="24"/>
          <w:szCs w:val="24"/>
          <w:highlight w:val="yellow"/>
        </w:rPr>
      </w:pPr>
      <w:r>
        <w:rPr>
          <w:rFonts w:hint="eastAsia" w:ascii="Times New Roman" w:hAnsi="Times New Roman" w:eastAsia="宋体" w:cs="Times New Roman"/>
          <w:sz w:val="24"/>
          <w:szCs w:val="24"/>
          <w:highlight w:val="none"/>
        </w:rPr>
        <w:t>3.合同履行期限：</w:t>
      </w:r>
      <w:r>
        <w:rPr>
          <w:rFonts w:hint="eastAsia" w:ascii="Times New Roman" w:hAnsi="Times New Roman" w:eastAsia="宋体" w:cs="Times New Roman"/>
          <w:sz w:val="24"/>
          <w:szCs w:val="24"/>
          <w:highlight w:val="none"/>
          <w:lang w:val="en-US" w:eastAsia="zh-CN"/>
        </w:rPr>
        <w:t>自签订合同之日起6个月</w:t>
      </w:r>
      <w:r>
        <w:rPr>
          <w:rFonts w:hint="eastAsia" w:ascii="宋体" w:hAnsi="宋体" w:cs="宋体"/>
          <w:color w:val="auto"/>
          <w:sz w:val="24"/>
          <w:highlight w:val="none"/>
        </w:rPr>
        <w:t>。</w:t>
      </w:r>
    </w:p>
    <w:p w14:paraId="5FF85B30">
      <w:pPr>
        <w:spacing w:line="500" w:lineRule="exact"/>
        <w:ind w:firstLine="480"/>
        <w:jc w:val="left"/>
        <w:rPr>
          <w:rFonts w:hint="eastAsia" w:eastAsia="Times New Roman"/>
          <w:color w:val="000000"/>
          <w:sz w:val="24"/>
          <w:szCs w:val="24"/>
          <w:highlight w:val="none"/>
        </w:rPr>
      </w:pPr>
      <w:r>
        <w:rPr>
          <w:rFonts w:hint="eastAsia" w:eastAsia="Times New Roman"/>
          <w:color w:val="000000"/>
          <w:sz w:val="24"/>
          <w:szCs w:val="24"/>
          <w:highlight w:val="none"/>
        </w:rPr>
        <w:t>4.最高限价：</w:t>
      </w:r>
      <w:r>
        <w:rPr>
          <w:rFonts w:hint="eastAsia" w:eastAsia="宋体"/>
          <w:color w:val="000000"/>
          <w:sz w:val="24"/>
          <w:szCs w:val="24"/>
          <w:highlight w:val="none"/>
          <w:lang w:val="en-US" w:eastAsia="zh-CN"/>
        </w:rPr>
        <w:t>95</w:t>
      </w:r>
      <w:r>
        <w:rPr>
          <w:rFonts w:hint="eastAsia" w:eastAsia="Times New Roman"/>
          <w:color w:val="000000"/>
          <w:sz w:val="24"/>
          <w:szCs w:val="24"/>
          <w:highlight w:val="none"/>
        </w:rPr>
        <w:t>万元。</w:t>
      </w:r>
    </w:p>
    <w:p w14:paraId="6A2C790F">
      <w:pPr>
        <w:spacing w:line="500" w:lineRule="exact"/>
        <w:ind w:firstLine="480"/>
        <w:jc w:val="left"/>
        <w:rPr>
          <w:rFonts w:eastAsia="Times New Roman"/>
          <w:sz w:val="24"/>
          <w:szCs w:val="24"/>
        </w:rPr>
      </w:pPr>
      <w:r>
        <w:rPr>
          <w:rFonts w:hint="eastAsia" w:eastAsia="Times New Roman"/>
          <w:sz w:val="24"/>
          <w:szCs w:val="24"/>
        </w:rPr>
        <w:t>5.质量要求：</w:t>
      </w:r>
      <w:r>
        <w:rPr>
          <w:rFonts w:eastAsia="Times New Roman"/>
          <w:sz w:val="24"/>
          <w:szCs w:val="24"/>
        </w:rPr>
        <w:t>合格，符合国家、行业质量要求</w:t>
      </w:r>
      <w:r>
        <w:rPr>
          <w:rFonts w:hint="eastAsia" w:eastAsia="Times New Roman"/>
          <w:sz w:val="24"/>
          <w:szCs w:val="24"/>
        </w:rPr>
        <w:t>，并满足招标文件要求。</w:t>
      </w:r>
    </w:p>
    <w:p w14:paraId="5DEA4C14">
      <w:pPr>
        <w:pStyle w:val="14"/>
        <w:spacing w:line="520" w:lineRule="exact"/>
        <w:ind w:firstLine="480"/>
        <w:rPr>
          <w:rFonts w:ascii="宋体" w:hAnsi="宋体" w:cs="宋体"/>
          <w:color w:val="000000"/>
          <w:sz w:val="24"/>
          <w:szCs w:val="24"/>
        </w:rPr>
      </w:pPr>
      <w:r>
        <w:rPr>
          <w:rFonts w:hint="eastAsia" w:eastAsia="Times New Roman"/>
          <w:sz w:val="24"/>
          <w:szCs w:val="24"/>
        </w:rPr>
        <w:t>6.验收标准及要求：</w:t>
      </w:r>
      <w:r>
        <w:rPr>
          <w:rFonts w:hint="eastAsia" w:ascii="宋体" w:hAnsi="宋体" w:cs="宋体"/>
          <w:color w:val="000000"/>
          <w:sz w:val="24"/>
          <w:szCs w:val="24"/>
        </w:rPr>
        <w:t>服务期满后中标人可提出验收申请，采购单位在收到中标人的验收申请后根据</w:t>
      </w:r>
      <w:r>
        <w:rPr>
          <w:rFonts w:hint="eastAsia" w:eastAsia="Times New Roman"/>
          <w:sz w:val="24"/>
          <w:szCs w:val="24"/>
        </w:rPr>
        <w:t>国家有关规定、招标文件、中标方的投标文件以及合同约定的内容和验收标准进行验收</w:t>
      </w:r>
      <w:r>
        <w:rPr>
          <w:rFonts w:hint="eastAsia" w:ascii="宋体" w:hAnsi="宋体" w:cs="宋体"/>
          <w:color w:val="000000"/>
          <w:sz w:val="24"/>
          <w:szCs w:val="24"/>
        </w:rPr>
        <w:t>，3个工作日内组织验收，并出具验收书。</w:t>
      </w:r>
    </w:p>
    <w:p w14:paraId="0F3F7D1B">
      <w:pPr>
        <w:spacing w:line="520" w:lineRule="exact"/>
        <w:ind w:firstLine="480"/>
        <w:rPr>
          <w:rFonts w:hint="eastAsia" w:eastAsia="Times New Roman"/>
          <w:sz w:val="24"/>
          <w:szCs w:val="24"/>
        </w:rPr>
      </w:pPr>
      <w:r>
        <w:rPr>
          <w:rFonts w:hint="eastAsia" w:ascii="宋体" w:hAnsi="宋体" w:cs="宋体"/>
          <w:color w:val="000000"/>
          <w:sz w:val="24"/>
          <w:szCs w:val="24"/>
        </w:rPr>
        <w:t>验收标准：有国家标准的应符合国家标准，无国家标准的应符合行业标准、地方标准或者招标文件约定的文件规范和内容。</w:t>
      </w:r>
    </w:p>
    <w:p w14:paraId="239A1B20">
      <w:pPr>
        <w:keepNext w:val="0"/>
        <w:keepLines w:val="0"/>
        <w:pageBreakBefore w:val="0"/>
        <w:widowControl w:val="0"/>
        <w:kinsoku/>
        <w:wordWrap/>
        <w:overflowPunct/>
        <w:topLinePunct w:val="0"/>
        <w:autoSpaceDE/>
        <w:autoSpaceDN/>
        <w:bidi w:val="0"/>
        <w:adjustRightInd/>
        <w:snapToGrid/>
        <w:spacing w:before="361" w:beforeLines="100" w:line="360" w:lineRule="auto"/>
        <w:jc w:val="left"/>
        <w:textAlignment w:val="auto"/>
        <w:rPr>
          <w:rFonts w:hint="eastAsia"/>
          <w:szCs w:val="24"/>
        </w:rPr>
      </w:pPr>
      <w:r>
        <w:rPr>
          <w:rFonts w:hint="eastAsia" w:eastAsia="Times New Roman"/>
          <w:b/>
          <w:bCs/>
          <w:sz w:val="32"/>
          <w:szCs w:val="32"/>
        </w:rPr>
        <w:t>二、项目要求</w:t>
      </w:r>
    </w:p>
    <w:p w14:paraId="00DDEE86">
      <w:pPr>
        <w:pStyle w:val="2"/>
        <w:keepNext/>
        <w:keepLines/>
        <w:pageBreakBefore w:val="0"/>
        <w:widowControl w:val="0"/>
        <w:kinsoku/>
        <w:wordWrap/>
        <w:overflowPunct/>
        <w:topLinePunct w:val="0"/>
        <w:autoSpaceDE/>
        <w:autoSpaceDN/>
        <w:bidi w:val="0"/>
        <w:adjustRightInd/>
        <w:snapToGrid/>
        <w:spacing w:before="60" w:after="60" w:line="360" w:lineRule="auto"/>
        <w:textAlignment w:val="auto"/>
        <w:rPr>
          <w:sz w:val="30"/>
          <w:szCs w:val="30"/>
        </w:rPr>
      </w:pPr>
      <w:r>
        <w:rPr>
          <w:rFonts w:hint="eastAsia"/>
          <w:sz w:val="30"/>
          <w:szCs w:val="30"/>
        </w:rPr>
        <w:t>1. 技术服务的背景</w:t>
      </w:r>
    </w:p>
    <w:p w14:paraId="52741E82">
      <w:pPr>
        <w:pStyle w:val="14"/>
        <w:spacing w:line="520" w:lineRule="exact"/>
        <w:ind w:firstLine="480"/>
        <w:rPr>
          <w:rFonts w:hint="eastAsia"/>
        </w:rPr>
      </w:pPr>
      <w:r>
        <w:rPr>
          <w:rFonts w:hint="eastAsia" w:ascii="宋体" w:hAnsi="宋体" w:eastAsia="宋体" w:cs="宋体"/>
          <w:color w:val="000000"/>
          <w:sz w:val="24"/>
          <w:szCs w:val="24"/>
        </w:rPr>
        <w:t>蓄滞洪区是流域防洪工程体系中极为重要的组成部分，是保障流域整体防洪安全、减少洪水灾害损失的有效措施和重要手段，按照《水利部办公厅关于开展国家蓄滞洪区划界技术工作的通知》（办防〔2024〕289号）等文件要求，开展淮河流域国家蓄滞洪区划界技术工作。其中，泗洪县境内蓄滞洪区沿线涉及多处城市发展用地，结合区域地形和堤防等工程建设情况、相关批复规划成果，开展边界合理性研究，为蓄滞洪区划界复核工作提供技术支撑。</w:t>
      </w:r>
    </w:p>
    <w:p w14:paraId="52EDC9F0">
      <w:pPr>
        <w:pStyle w:val="2"/>
        <w:keepNext/>
        <w:keepLines/>
        <w:pageBreakBefore w:val="0"/>
        <w:widowControl w:val="0"/>
        <w:kinsoku/>
        <w:wordWrap/>
        <w:overflowPunct/>
        <w:topLinePunct w:val="0"/>
        <w:autoSpaceDE/>
        <w:autoSpaceDN/>
        <w:bidi w:val="0"/>
        <w:adjustRightInd/>
        <w:snapToGrid/>
        <w:spacing w:before="180" w:after="60" w:line="360" w:lineRule="auto"/>
        <w:textAlignment w:val="auto"/>
        <w:rPr>
          <w:rFonts w:hint="eastAsia" w:ascii="Arial" w:hAnsi="Arial" w:eastAsia="Arial" w:cs="Times New Roman"/>
          <w:sz w:val="30"/>
          <w:szCs w:val="30"/>
        </w:rPr>
      </w:pPr>
      <w:r>
        <w:rPr>
          <w:rFonts w:hint="eastAsia" w:ascii="Arial" w:hAnsi="Arial" w:eastAsia="Arial" w:cs="Times New Roman"/>
          <w:sz w:val="30"/>
          <w:szCs w:val="30"/>
        </w:rPr>
        <w:t>2. 技术服务的内容</w:t>
      </w:r>
    </w:p>
    <w:p w14:paraId="37982447">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000000"/>
          <w:sz w:val="24"/>
          <w:szCs w:val="24"/>
          <w:lang w:val="en-US" w:eastAsia="zh-CN" w:bidi="ar-SA"/>
        </w:rPr>
      </w:pPr>
      <w:r>
        <w:rPr>
          <w:rFonts w:hint="default" w:ascii="宋体" w:hAnsi="宋体" w:eastAsia="宋体" w:cs="宋体"/>
          <w:color w:val="000000"/>
          <w:sz w:val="24"/>
          <w:szCs w:val="24"/>
          <w:lang w:val="en-US" w:eastAsia="zh-CN" w:bidi="ar-SA"/>
        </w:rPr>
        <w:t>洪泽湖周边滞洪区</w:t>
      </w:r>
      <w:r>
        <w:rPr>
          <w:rFonts w:hint="eastAsia" w:ascii="宋体" w:hAnsi="宋体" w:eastAsia="宋体" w:cs="宋体"/>
          <w:color w:val="000000"/>
          <w:sz w:val="24"/>
          <w:szCs w:val="24"/>
          <w:lang w:val="en-US" w:eastAsia="zh-CN" w:bidi="ar-SA"/>
        </w:rPr>
        <w:t>泗洪县</w:t>
      </w:r>
      <w:r>
        <w:rPr>
          <w:rFonts w:hint="default" w:ascii="宋体" w:hAnsi="宋体" w:eastAsia="宋体" w:cs="宋体"/>
          <w:color w:val="000000"/>
          <w:sz w:val="24"/>
          <w:szCs w:val="24"/>
          <w:lang w:val="en-US" w:eastAsia="zh-CN" w:bidi="ar-SA"/>
        </w:rPr>
        <w:t>主要涉及</w:t>
      </w:r>
      <w:r>
        <w:rPr>
          <w:rFonts w:hint="eastAsia" w:ascii="宋体" w:hAnsi="宋体" w:eastAsia="宋体" w:cs="宋体"/>
          <w:color w:val="000000"/>
          <w:sz w:val="24"/>
          <w:szCs w:val="24"/>
          <w:lang w:val="en-US" w:eastAsia="zh-CN" w:bidi="ar-SA"/>
        </w:rPr>
        <w:t>青阳、大楼、石集、金锁、朱湖、</w:t>
      </w:r>
      <w:r>
        <w:rPr>
          <w:rFonts w:hint="default" w:ascii="宋体" w:hAnsi="宋体" w:eastAsia="宋体" w:cs="宋体"/>
          <w:color w:val="000000"/>
          <w:sz w:val="24"/>
          <w:szCs w:val="24"/>
          <w:lang w:val="en-US" w:eastAsia="zh-CN" w:bidi="ar-SA"/>
        </w:rPr>
        <w:t>龙集、界集、半城、临淮、双沟</w:t>
      </w:r>
      <w:r>
        <w:rPr>
          <w:rFonts w:hint="eastAsia" w:ascii="宋体" w:hAnsi="宋体" w:eastAsia="宋体" w:cs="宋体"/>
          <w:color w:val="000000"/>
          <w:sz w:val="24"/>
          <w:szCs w:val="24"/>
          <w:lang w:val="en-US" w:eastAsia="zh-CN" w:bidi="ar-SA"/>
        </w:rPr>
        <w:t>、瑶沟、归仁、梅花、魏营、半城、孙园</w:t>
      </w:r>
      <w:r>
        <w:rPr>
          <w:rFonts w:hint="default" w:ascii="宋体" w:hAnsi="宋体" w:eastAsia="宋体" w:cs="宋体"/>
          <w:color w:val="000000"/>
          <w:sz w:val="24"/>
          <w:szCs w:val="24"/>
          <w:lang w:val="en-US" w:eastAsia="zh-CN" w:bidi="ar-SA"/>
        </w:rPr>
        <w:t>等16个乡镇（街道）及洪泽湖农场，面积约936平方公里</w:t>
      </w:r>
      <w:r>
        <w:rPr>
          <w:rFonts w:hint="eastAsia" w:ascii="宋体" w:hAnsi="宋体" w:eastAsia="宋体" w:cs="宋体"/>
          <w:color w:val="000000"/>
          <w:sz w:val="24"/>
          <w:szCs w:val="24"/>
          <w:lang w:val="en-US" w:eastAsia="zh-CN" w:bidi="ar-SA"/>
        </w:rPr>
        <w:t>。规划范围为泗洪县境内全部滞洪区，重点围绕洪泽湖周边蓄滞洪区内的泗洪县境内部分集镇区（工业园区）等重点区域开展划界合理性研究，梳理相关地块基本情况和地形资料，在保证蓄滞洪区蓄洪容积不减、功能不降的前提下，根据面积、库容复核成果进行边界合理性研究，并提出补偿方案，编制完成《泗洪县洪泽湖周边滞洪区划界及建设管理研究报告》及相关成果、图件。</w:t>
      </w:r>
    </w:p>
    <w:p w14:paraId="6C1B8BA0">
      <w:pPr>
        <w:pStyle w:val="3"/>
        <w:keepNext/>
        <w:keepLines/>
        <w:pageBreakBefore w:val="0"/>
        <w:widowControl w:val="0"/>
        <w:kinsoku/>
        <w:wordWrap/>
        <w:overflowPunct/>
        <w:topLinePunct w:val="0"/>
        <w:autoSpaceDE/>
        <w:autoSpaceDN/>
        <w:bidi w:val="0"/>
        <w:adjustRightInd/>
        <w:snapToGrid/>
        <w:spacing w:before="80" w:after="200"/>
        <w:ind w:firstLine="601"/>
        <w:textAlignment w:val="auto"/>
        <w:rPr>
          <w:rFonts w:hint="eastAsia" w:ascii="Arial" w:hAnsi="Arial" w:eastAsia="Arial" w:cs="Times New Roman"/>
          <w:sz w:val="30"/>
          <w:szCs w:val="30"/>
          <w:lang w:val="en-US" w:eastAsia="zh-CN" w:bidi="ar-SA"/>
        </w:rPr>
      </w:pPr>
      <w:r>
        <w:rPr>
          <w:rFonts w:hint="eastAsia" w:ascii="Arial" w:hAnsi="Arial" w:eastAsia="Arial" w:cs="Times New Roman"/>
          <w:sz w:val="30"/>
          <w:szCs w:val="30"/>
          <w:lang w:val="en-US" w:eastAsia="zh-CN" w:bidi="ar-SA"/>
        </w:rPr>
        <w:t>（1）基本概况梳理及分析</w:t>
      </w:r>
    </w:p>
    <w:p w14:paraId="3E25EBF5">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000000"/>
          <w:sz w:val="24"/>
          <w:szCs w:val="24"/>
          <w:lang w:val="en-US" w:eastAsia="zh-CN" w:bidi="ar-SA"/>
        </w:rPr>
      </w:pPr>
      <w:r>
        <w:rPr>
          <w:rFonts w:hint="eastAsia" w:ascii="宋体" w:hAnsi="宋体" w:eastAsia="宋体" w:cs="宋体"/>
          <w:b/>
          <w:bCs/>
          <w:color w:val="000000"/>
          <w:sz w:val="24"/>
          <w:szCs w:val="24"/>
          <w:lang w:val="en-US" w:eastAsia="zh-CN" w:bidi="ar-SA"/>
        </w:rPr>
        <w:t>①地形影响分析：</w:t>
      </w:r>
      <w:r>
        <w:rPr>
          <w:rFonts w:hint="eastAsia" w:ascii="宋体" w:hAnsi="宋体" w:eastAsia="宋体" w:cs="宋体"/>
          <w:color w:val="000000"/>
          <w:sz w:val="24"/>
          <w:szCs w:val="24"/>
          <w:lang w:val="en-US" w:eastAsia="zh-CN" w:bidi="ar-SA"/>
        </w:rPr>
        <w:t>整编蓄滞洪区历史地形资料，根据地形图、影像图和实地调查资料，识别地形及主要地面附着物主要变化情况；初步分析地形变化对蓄滞洪区库容的影响程度。</w:t>
      </w:r>
    </w:p>
    <w:p w14:paraId="3615E155">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000000"/>
          <w:sz w:val="24"/>
          <w:szCs w:val="24"/>
          <w:lang w:val="en-US" w:eastAsia="zh-CN" w:bidi="ar-SA"/>
        </w:rPr>
      </w:pPr>
      <w:r>
        <w:rPr>
          <w:rFonts w:hint="eastAsia" w:ascii="宋体" w:hAnsi="宋体" w:eastAsia="宋体" w:cs="宋体"/>
          <w:b/>
          <w:bCs/>
          <w:color w:val="000000"/>
          <w:sz w:val="24"/>
          <w:szCs w:val="24"/>
          <w:lang w:val="en-US" w:eastAsia="zh-CN" w:bidi="ar-SA"/>
        </w:rPr>
        <w:t>②区域发展影响分析：</w:t>
      </w:r>
      <w:r>
        <w:rPr>
          <w:rFonts w:hint="eastAsia" w:ascii="宋体" w:hAnsi="宋体" w:eastAsia="宋体" w:cs="宋体"/>
          <w:color w:val="000000"/>
          <w:sz w:val="24"/>
          <w:szCs w:val="24"/>
          <w:lang w:val="en-US" w:eastAsia="zh-CN" w:bidi="ar-SA"/>
        </w:rPr>
        <w:t>根据城市发展、区域发展相关规划，分析各重点区域典型年（2000、2010、2020年）的人口、GDP、建设用地面积等数据。评估蓄洪情况下对人口与基础设施影响、区域发展需求与蓄滞洪区的协调性、划界与城市发展方向的相关性，为科学划界提供依据。</w:t>
      </w:r>
    </w:p>
    <w:p w14:paraId="6166CD54">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000000"/>
          <w:sz w:val="24"/>
          <w:szCs w:val="24"/>
          <w:lang w:val="en-US" w:eastAsia="zh-CN" w:bidi="ar-SA"/>
        </w:rPr>
      </w:pPr>
      <w:r>
        <w:rPr>
          <w:rFonts w:hint="eastAsia" w:ascii="宋体" w:hAnsi="宋体" w:eastAsia="宋体" w:cs="宋体"/>
          <w:b/>
          <w:bCs/>
          <w:color w:val="000000"/>
          <w:sz w:val="24"/>
          <w:szCs w:val="24"/>
          <w:lang w:val="en-US" w:eastAsia="zh-CN" w:bidi="ar-SA"/>
        </w:rPr>
        <w:t>③基础设施影响分析：</w:t>
      </w:r>
      <w:r>
        <w:rPr>
          <w:rFonts w:hint="eastAsia" w:ascii="宋体" w:hAnsi="宋体" w:eastAsia="宋体" w:cs="宋体"/>
          <w:color w:val="000000"/>
          <w:sz w:val="24"/>
          <w:szCs w:val="24"/>
          <w:lang w:val="en-US" w:eastAsia="zh-CN" w:bidi="ar-SA"/>
        </w:rPr>
        <w:t>梳理研究范围内的堤防、道路、管线等工程布局情况；结合地形资料分析工程建设标准、高程等是否满足划界分区要求；分析现状基础设施对滞洪的阻碍作用。</w:t>
      </w:r>
    </w:p>
    <w:p w14:paraId="75437F53">
      <w:pPr>
        <w:pStyle w:val="3"/>
        <w:keepNext/>
        <w:keepLines/>
        <w:pageBreakBefore w:val="0"/>
        <w:widowControl w:val="0"/>
        <w:kinsoku/>
        <w:wordWrap/>
        <w:overflowPunct/>
        <w:topLinePunct w:val="0"/>
        <w:autoSpaceDE/>
        <w:autoSpaceDN/>
        <w:bidi w:val="0"/>
        <w:adjustRightInd/>
        <w:snapToGrid/>
        <w:spacing w:before="80"/>
        <w:ind w:firstLine="601"/>
        <w:textAlignment w:val="auto"/>
        <w:rPr>
          <w:rFonts w:hint="eastAsia" w:ascii="Arial" w:hAnsi="Arial" w:eastAsia="Arial" w:cs="Times New Roman"/>
          <w:sz w:val="30"/>
          <w:szCs w:val="30"/>
          <w:lang w:val="en-US" w:eastAsia="zh-CN" w:bidi="ar-SA"/>
        </w:rPr>
      </w:pPr>
      <w:r>
        <w:rPr>
          <w:rFonts w:hint="eastAsia" w:ascii="Arial" w:hAnsi="Arial" w:eastAsia="Arial" w:cs="Times New Roman"/>
          <w:sz w:val="30"/>
          <w:szCs w:val="30"/>
          <w:lang w:val="en-US" w:eastAsia="zh-CN" w:bidi="ar-SA"/>
        </w:rPr>
        <w:t>（2）划界方案研究</w:t>
      </w:r>
    </w:p>
    <w:p w14:paraId="750FBDE5">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①依据研究范围内的地形分布及道路、管线等工程布局情况，总体分析现状工程组成封闭边界的可行性，提出蓄滞洪区边界划定方案。</w:t>
      </w:r>
    </w:p>
    <w:p w14:paraId="002F4A7C">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②分析临淮（城头）集镇区边界、地形和人口社会经济指标，初步确定安置区规模。研究提出相应工程建设方案，合理安排分隔堤、进退洪设施等工程，科学规划安全区和撤退道路建设，分析安置区建设对库容的影响。</w:t>
      </w:r>
    </w:p>
    <w:p w14:paraId="7A9A4977">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③分析计算其它重点区域划界方案相应片区的库容、面积，针对不同的划界方案，依据地形数据构建数字高程模型（DEM），充分考虑边界的复杂性和不规则性，模拟计算出各方案不同水位对应的蓄滞洪容积，确保计算结果能准确反映实际蓄洪能力。</w:t>
      </w:r>
    </w:p>
    <w:p w14:paraId="04B4286A">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④围绕制定的蓄滞洪区划定方案对库容的影响，分现状和规划工况，对洪泽湖周边蓄滞洪区遭遇标准内、标准外洪水进行调洪演算，分析划界对蓄洪的影响。</w:t>
      </w:r>
    </w:p>
    <w:p w14:paraId="123A5525">
      <w:pPr>
        <w:pStyle w:val="3"/>
        <w:keepNext/>
        <w:keepLines/>
        <w:pageBreakBefore w:val="0"/>
        <w:widowControl w:val="0"/>
        <w:kinsoku/>
        <w:wordWrap/>
        <w:overflowPunct/>
        <w:topLinePunct w:val="0"/>
        <w:autoSpaceDE/>
        <w:autoSpaceDN/>
        <w:bidi w:val="0"/>
        <w:adjustRightInd/>
        <w:snapToGrid/>
        <w:spacing w:before="80"/>
        <w:ind w:firstLine="601"/>
        <w:textAlignment w:val="auto"/>
      </w:pPr>
      <w:r>
        <w:rPr>
          <w:rFonts w:hint="eastAsia"/>
        </w:rPr>
        <w:t>（3）补偿措施研究</w:t>
      </w:r>
    </w:p>
    <w:p w14:paraId="723DD485">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摸排比对泗洪县境内蓄滞洪区边界周边地形特征，寻找边缘低洼区域，根据局部地形图构建数字高程模型分析容积，结合洪水淹没及土地利用影响程度，提出拟采取的蓄滞洪区面积、库容补偿措施，研究边界补偿调整的可行性。</w:t>
      </w:r>
    </w:p>
    <w:p w14:paraId="307FADDA">
      <w:pPr>
        <w:keepNext w:val="0"/>
        <w:keepLines w:val="0"/>
        <w:pageBreakBefore w:val="0"/>
        <w:widowControl w:val="0"/>
        <w:kinsoku/>
        <w:wordWrap/>
        <w:overflowPunct/>
        <w:topLinePunct w:val="0"/>
        <w:autoSpaceDE/>
        <w:autoSpaceDN/>
        <w:bidi w:val="0"/>
        <w:adjustRightInd/>
        <w:snapToGrid/>
        <w:spacing w:before="361" w:beforeLines="100" w:line="360" w:lineRule="auto"/>
        <w:jc w:val="left"/>
        <w:textAlignment w:val="auto"/>
        <w:rPr>
          <w:rFonts w:hint="default" w:eastAsia="宋体" w:cs="Times New Roman"/>
          <w:b/>
          <w:bCs/>
          <w:sz w:val="32"/>
          <w:szCs w:val="32"/>
          <w:lang w:val="en-US" w:eastAsia="zh-CN"/>
        </w:rPr>
      </w:pPr>
      <w:r>
        <w:rPr>
          <w:rFonts w:hint="eastAsia" w:eastAsia="宋体" w:cs="Times New Roman"/>
          <w:b/>
          <w:bCs/>
          <w:sz w:val="32"/>
          <w:szCs w:val="32"/>
          <w:lang w:val="en-US" w:eastAsia="zh-CN"/>
        </w:rPr>
        <w:t>三</w:t>
      </w:r>
      <w:r>
        <w:rPr>
          <w:rFonts w:hint="eastAsia" w:eastAsia="Times New Roman" w:cs="Times New Roman"/>
          <w:b/>
          <w:bCs/>
          <w:sz w:val="32"/>
          <w:szCs w:val="32"/>
        </w:rPr>
        <w:t>、</w:t>
      </w:r>
      <w:r>
        <w:rPr>
          <w:rFonts w:hint="eastAsia" w:eastAsia="宋体" w:cs="Times New Roman"/>
          <w:b/>
          <w:bCs/>
          <w:sz w:val="32"/>
          <w:szCs w:val="32"/>
          <w:lang w:val="en-US" w:eastAsia="zh-CN"/>
        </w:rPr>
        <w:t>项目实施方案</w:t>
      </w:r>
    </w:p>
    <w:p w14:paraId="2DF56BD1">
      <w:pPr>
        <w:pStyle w:val="14"/>
        <w:spacing w:line="500" w:lineRule="exact"/>
        <w:ind w:firstLine="480"/>
        <w:rPr>
          <w:rFonts w:hint="eastAsia" w:ascii="宋体" w:hAnsi="宋体" w:eastAsia="宋体" w:cs="宋体"/>
          <w:color w:val="000000"/>
          <w:sz w:val="24"/>
          <w:szCs w:val="24"/>
          <w:highlight w:val="yellow"/>
          <w:lang w:val="en-US" w:eastAsia="zh-CN" w:bidi="ar-SA"/>
        </w:rPr>
      </w:pPr>
      <w:r>
        <w:rPr>
          <w:rFonts w:hint="eastAsia" w:ascii="宋体" w:hAnsi="宋体" w:eastAsia="宋体" w:cs="宋体"/>
          <w:color w:val="000000"/>
          <w:sz w:val="24"/>
          <w:szCs w:val="24"/>
          <w:highlight w:val="none"/>
          <w:lang w:val="en-US" w:eastAsia="zh-CN" w:bidi="ar-SA"/>
        </w:rPr>
        <w:t>1、对项目整体的把握程度：供应商根据对本项目背景、服务范围、项目内容、成果要求编制方案，方案内容需构思缜密、完整详细、符合本项目实际情况、项目背景理解准确，对国家、省相关政策法规理解透彻。对项目整体把握要准确，内容要齐全，实用性、针对性强</w:t>
      </w:r>
      <w:r>
        <w:rPr>
          <w:rFonts w:hint="eastAsia" w:ascii="宋体" w:hAnsi="宋体" w:eastAsia="宋体" w:cs="宋体"/>
          <w:sz w:val="24"/>
        </w:rPr>
        <w:t>，内容应当切合</w:t>
      </w:r>
      <w:r>
        <w:rPr>
          <w:rFonts w:hint="eastAsia" w:ascii="宋体" w:hAnsi="宋体" w:eastAsia="宋体" w:cs="宋体"/>
          <w:sz w:val="24"/>
          <w:lang w:val="en-US" w:eastAsia="zh-CN"/>
        </w:rPr>
        <w:t>本项目的</w:t>
      </w:r>
      <w:r>
        <w:rPr>
          <w:rFonts w:hint="eastAsia" w:ascii="宋体" w:hAnsi="宋体" w:eastAsia="宋体" w:cs="宋体"/>
          <w:sz w:val="24"/>
        </w:rPr>
        <w:t>实际情况，具有一定的深度。</w:t>
      </w:r>
    </w:p>
    <w:p w14:paraId="309AD316">
      <w:pPr>
        <w:pStyle w:val="14"/>
        <w:spacing w:line="500" w:lineRule="exact"/>
        <w:ind w:firstLine="480"/>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2、技术路线和方法：</w:t>
      </w:r>
      <w:r>
        <w:rPr>
          <w:rFonts w:hint="eastAsia" w:ascii="宋体" w:hAnsi="宋体" w:eastAsia="宋体" w:cs="宋体"/>
          <w:sz w:val="24"/>
          <w:highlight w:val="none"/>
        </w:rPr>
        <w:t>供应商针对本项目“采购需求”中“服务内容及要求”制定项目技术方案</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包括研究方法、技术路线等</w:t>
      </w:r>
      <w:r>
        <w:rPr>
          <w:rFonts w:hint="eastAsia" w:ascii="宋体" w:hAnsi="宋体" w:eastAsia="宋体" w:cs="宋体"/>
          <w:sz w:val="24"/>
          <w:highlight w:val="none"/>
        </w:rPr>
        <w:t>。主要内容包括：（1）</w:t>
      </w:r>
      <w:r>
        <w:rPr>
          <w:rFonts w:hint="eastAsia" w:ascii="宋体" w:hAnsi="宋体" w:eastAsia="宋体" w:cs="宋体"/>
          <w:sz w:val="24"/>
          <w:highlight w:val="none"/>
          <w:lang w:val="en-US" w:eastAsia="zh-CN"/>
        </w:rPr>
        <w:t>基本概况梳理及分析</w:t>
      </w:r>
      <w:r>
        <w:rPr>
          <w:rFonts w:hint="eastAsia" w:ascii="宋体" w:hAnsi="宋体" w:eastAsia="宋体" w:cs="宋体"/>
          <w:sz w:val="24"/>
          <w:highlight w:val="none"/>
        </w:rPr>
        <w:t>；（2）</w:t>
      </w:r>
      <w:r>
        <w:rPr>
          <w:rFonts w:hint="eastAsia" w:ascii="宋体" w:hAnsi="宋体" w:eastAsia="宋体" w:cs="宋体"/>
          <w:sz w:val="24"/>
          <w:highlight w:val="none"/>
          <w:lang w:val="en-US" w:eastAsia="zh-CN"/>
        </w:rPr>
        <w:t>划界方案研究</w:t>
      </w:r>
      <w:r>
        <w:rPr>
          <w:rFonts w:hint="eastAsia" w:ascii="宋体" w:hAnsi="宋体" w:eastAsia="宋体" w:cs="宋体"/>
          <w:sz w:val="24"/>
          <w:highlight w:val="none"/>
        </w:rPr>
        <w:t>；（3）补偿措施研究</w:t>
      </w:r>
      <w:r>
        <w:rPr>
          <w:rFonts w:hint="eastAsia" w:ascii="宋体" w:hAnsi="宋体" w:eastAsia="宋体" w:cs="宋体"/>
          <w:sz w:val="24"/>
          <w:highlight w:val="none"/>
          <w:lang w:val="en-US" w:eastAsia="zh-CN"/>
        </w:rPr>
        <w:t>等；方案逻辑要清晰，研究方法、技术路线描述要详细准确，具有可实施性</w:t>
      </w:r>
      <w:r>
        <w:rPr>
          <w:rFonts w:hint="eastAsia" w:ascii="宋体" w:hAnsi="宋体" w:eastAsia="宋体" w:cs="宋体"/>
          <w:sz w:val="24"/>
          <w:highlight w:val="none"/>
        </w:rPr>
        <w:t>。</w:t>
      </w:r>
    </w:p>
    <w:p w14:paraId="62C65BE0">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项目实施重点难点分析：供应商根据本项目服务实施要求，结合实施经验分析项目服务过程中可能存在的重点难点问题并提供相对应的具有合理性、可操作性的解决方案。包括但不限于措施的合理性、可行性和保障性，重点难点问题分析全面，内容清晰明了，并能提出合理、操作性强的解决方案。</w:t>
      </w:r>
    </w:p>
    <w:p w14:paraId="7CBF77CB">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000000"/>
          <w:sz w:val="24"/>
          <w:szCs w:val="24"/>
          <w:highlight w:val="yellow"/>
          <w:lang w:val="en-US" w:eastAsia="zh-CN" w:bidi="ar-SA"/>
        </w:rPr>
      </w:pPr>
      <w:r>
        <w:rPr>
          <w:rFonts w:hint="eastAsia" w:ascii="宋体" w:hAnsi="宋体" w:eastAsia="宋体" w:cs="宋体"/>
          <w:color w:val="000000"/>
          <w:sz w:val="24"/>
          <w:szCs w:val="24"/>
          <w:highlight w:val="none"/>
          <w:lang w:val="en-US" w:eastAsia="zh-CN" w:bidi="ar-SA"/>
        </w:rPr>
        <w:t>4、保密措施：供应商应根据本项目要求编制保密措施方案，包括但不限于保密制度、保密安全管理措施、泄密预防等内容，保障措施应准确得当，合理可行，具有针对性和可操作性。</w:t>
      </w:r>
      <w:r>
        <w:rPr>
          <w:rFonts w:hint="eastAsia" w:ascii="宋体" w:hAnsi="宋体" w:eastAsia="宋体" w:cs="宋体"/>
          <w:sz w:val="24"/>
        </w:rPr>
        <w:t>工作中涉及的敏感资料、电子数据等相关信息，不得以任何方式向任何第三方披露、泄露或许可第三方使用等。</w:t>
      </w:r>
    </w:p>
    <w:p w14:paraId="632792EF">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default" w:ascii="宋体" w:hAnsi="宋体" w:eastAsia="宋体" w:cs="宋体"/>
          <w:color w:val="000000"/>
          <w:sz w:val="24"/>
          <w:szCs w:val="24"/>
          <w:highlight w:val="yellow"/>
          <w:lang w:val="en-US" w:eastAsia="zh-CN" w:bidi="ar-SA"/>
        </w:rPr>
      </w:pPr>
      <w:r>
        <w:rPr>
          <w:rFonts w:hint="eastAsia" w:ascii="宋体" w:hAnsi="宋体" w:eastAsia="宋体" w:cs="宋体"/>
          <w:color w:val="000000"/>
          <w:sz w:val="24"/>
          <w:szCs w:val="24"/>
          <w:highlight w:val="none"/>
          <w:lang w:val="en-US" w:eastAsia="zh-CN" w:bidi="ar-SA"/>
        </w:rPr>
        <w:t>5、质量保证措施：</w:t>
      </w:r>
      <w:r>
        <w:rPr>
          <w:rFonts w:hint="eastAsia" w:ascii="宋体" w:hAnsi="宋体" w:eastAsia="宋体" w:cs="宋体"/>
          <w:sz w:val="24"/>
          <w:highlight w:val="none"/>
        </w:rPr>
        <w:t>供</w:t>
      </w:r>
      <w:r>
        <w:rPr>
          <w:rFonts w:hint="eastAsia" w:ascii="宋体" w:hAnsi="宋体" w:eastAsia="宋体" w:cs="宋体"/>
          <w:sz w:val="24"/>
        </w:rPr>
        <w:t>应商根据项目总体要求，制定项目</w:t>
      </w:r>
      <w:r>
        <w:rPr>
          <w:rFonts w:hint="eastAsia" w:ascii="宋体" w:hAnsi="宋体" w:eastAsia="宋体" w:cs="宋体"/>
          <w:sz w:val="24"/>
          <w:lang w:val="en-US" w:eastAsia="zh-CN"/>
        </w:rPr>
        <w:t>质量保证措施方案，包括质量管理制度、质量管理关键点分析及应对、质量保障措施等。方案内容要逻辑清晰、合理可行、可操作性强。</w:t>
      </w:r>
    </w:p>
    <w:p w14:paraId="77EADDF8">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default" w:ascii="宋体" w:hAnsi="宋体" w:eastAsia="宋体" w:cs="宋体"/>
          <w:color w:val="000000"/>
          <w:sz w:val="24"/>
          <w:szCs w:val="24"/>
          <w:highlight w:val="yellow"/>
          <w:lang w:val="en-US" w:eastAsia="zh-CN" w:bidi="ar-SA"/>
        </w:rPr>
      </w:pPr>
      <w:r>
        <w:rPr>
          <w:rFonts w:hint="eastAsia" w:ascii="宋体" w:hAnsi="宋体" w:eastAsia="宋体" w:cs="宋体"/>
          <w:color w:val="000000"/>
          <w:sz w:val="24"/>
          <w:szCs w:val="24"/>
          <w:highlight w:val="none"/>
          <w:lang w:val="en-US" w:eastAsia="zh-CN" w:bidi="ar-SA"/>
        </w:rPr>
        <w:t>6、项目组织管理和进度保证措施：</w:t>
      </w:r>
      <w:r>
        <w:rPr>
          <w:rFonts w:hint="eastAsia" w:ascii="宋体" w:hAnsi="宋体" w:eastAsia="宋体" w:cs="宋体"/>
          <w:sz w:val="24"/>
          <w:highlight w:val="none"/>
        </w:rPr>
        <w:t>供</w:t>
      </w:r>
      <w:r>
        <w:rPr>
          <w:rFonts w:hint="eastAsia" w:ascii="宋体" w:hAnsi="宋体" w:eastAsia="宋体" w:cs="宋体"/>
          <w:sz w:val="24"/>
        </w:rPr>
        <w:t>应商根据项目总体要求，制定项目组织管理</w:t>
      </w:r>
      <w:r>
        <w:rPr>
          <w:rFonts w:hint="eastAsia" w:ascii="宋体" w:hAnsi="宋体" w:eastAsia="宋体" w:cs="宋体"/>
          <w:sz w:val="24"/>
          <w:lang w:val="en-US" w:eastAsia="zh-CN"/>
        </w:rPr>
        <w:t>和</w:t>
      </w:r>
      <w:r>
        <w:rPr>
          <w:rFonts w:hint="eastAsia" w:ascii="宋体" w:hAnsi="宋体" w:eastAsia="宋体" w:cs="宋体"/>
          <w:sz w:val="24"/>
        </w:rPr>
        <w:t>进度</w:t>
      </w:r>
      <w:r>
        <w:rPr>
          <w:rFonts w:hint="eastAsia" w:ascii="宋体" w:hAnsi="宋体" w:eastAsia="宋体" w:cs="宋体"/>
          <w:sz w:val="24"/>
          <w:lang w:val="en-US" w:eastAsia="zh-CN"/>
        </w:rPr>
        <w:t>保证措施</w:t>
      </w:r>
      <w:r>
        <w:rPr>
          <w:rFonts w:hint="eastAsia" w:ascii="宋体" w:hAnsi="宋体" w:eastAsia="宋体" w:cs="宋体"/>
          <w:sz w:val="24"/>
        </w:rPr>
        <w:t>方案。</w:t>
      </w:r>
      <w:r>
        <w:rPr>
          <w:rFonts w:hint="eastAsia" w:ascii="宋体" w:hAnsi="宋体" w:eastAsia="宋体" w:cs="宋体"/>
          <w:sz w:val="24"/>
          <w:lang w:val="en-US" w:eastAsia="zh-CN"/>
        </w:rPr>
        <w:t>包括各项目组织架构，进度保证措施、工作开展计划等，</w:t>
      </w:r>
      <w:r>
        <w:rPr>
          <w:rFonts w:hint="eastAsia" w:ascii="宋体" w:hAnsi="宋体" w:eastAsia="宋体" w:cs="宋体"/>
          <w:sz w:val="24"/>
        </w:rPr>
        <w:t>组织机构设置应当全</w:t>
      </w:r>
      <w:r>
        <w:rPr>
          <w:rFonts w:hint="eastAsia" w:ascii="宋体" w:hAnsi="宋体" w:eastAsia="宋体" w:cs="宋体"/>
          <w:sz w:val="24"/>
          <w:lang w:val="en-US" w:eastAsia="zh-CN"/>
        </w:rPr>
        <w:t>面</w:t>
      </w:r>
      <w:r>
        <w:rPr>
          <w:rFonts w:hint="eastAsia" w:ascii="宋体" w:hAnsi="宋体" w:eastAsia="宋体" w:cs="宋体"/>
          <w:sz w:val="24"/>
        </w:rPr>
        <w:t>、各项制度应健全、项目进度安排合理且能在规定时间内完成</w:t>
      </w:r>
      <w:r>
        <w:rPr>
          <w:rFonts w:hint="eastAsia" w:ascii="宋体" w:hAnsi="宋体" w:eastAsia="宋体" w:cs="宋体"/>
          <w:sz w:val="24"/>
          <w:lang w:val="en-US" w:eastAsia="zh-CN"/>
        </w:rPr>
        <w:t>本项目规定的各项</w:t>
      </w:r>
      <w:r>
        <w:rPr>
          <w:rFonts w:hint="eastAsia" w:ascii="宋体" w:hAnsi="宋体" w:eastAsia="宋体" w:cs="宋体"/>
          <w:sz w:val="24"/>
        </w:rPr>
        <w:t>工作。</w:t>
      </w:r>
    </w:p>
    <w:p w14:paraId="1D791B22">
      <w:pPr>
        <w:keepNext w:val="0"/>
        <w:keepLines w:val="0"/>
        <w:pageBreakBefore w:val="0"/>
        <w:widowControl w:val="0"/>
        <w:kinsoku/>
        <w:wordWrap/>
        <w:overflowPunct/>
        <w:topLinePunct w:val="0"/>
        <w:autoSpaceDE/>
        <w:autoSpaceDN/>
        <w:bidi w:val="0"/>
        <w:adjustRightInd/>
        <w:snapToGrid/>
        <w:spacing w:before="361" w:beforeLines="100" w:line="360" w:lineRule="auto"/>
        <w:jc w:val="left"/>
        <w:textAlignment w:val="auto"/>
        <w:rPr>
          <w:rFonts w:hint="eastAsia" w:eastAsia="Times New Roman" w:cs="Times New Roman"/>
          <w:b/>
          <w:bCs/>
          <w:sz w:val="32"/>
          <w:szCs w:val="32"/>
        </w:rPr>
      </w:pPr>
      <w:r>
        <w:rPr>
          <w:rFonts w:hint="eastAsia" w:eastAsia="宋体" w:cs="Times New Roman"/>
          <w:b/>
          <w:bCs/>
          <w:sz w:val="32"/>
          <w:szCs w:val="32"/>
          <w:lang w:val="en-US" w:eastAsia="zh-CN"/>
        </w:rPr>
        <w:t>四</w:t>
      </w:r>
      <w:r>
        <w:rPr>
          <w:rFonts w:hint="eastAsia" w:eastAsia="Times New Roman" w:cs="Times New Roman"/>
          <w:b/>
          <w:bCs/>
          <w:sz w:val="32"/>
          <w:szCs w:val="32"/>
        </w:rPr>
        <w:t xml:space="preserve">、其他要求 </w:t>
      </w:r>
    </w:p>
    <w:p w14:paraId="46F06B37">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报价内容包括：以上总费用包含前期调研费、现场测量复核费用、成果编制费、交通差旅费、工作经费、文档和图档的打印、装订及寄送费用及上报等产生的所有费用、全额含税发票、雇员费用、最终成果按约定份数的印刷费用、合同实施过程中的应预见和不可预见费用等。</w:t>
      </w:r>
    </w:p>
    <w:p w14:paraId="2721A22F">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2、投标供应商报价时应充分考虑所有可能影响到报价的因素，一旦招标结束最终成交，总价将包定，不予调整。如发生漏、缺、少项，都将被认为是成交供应商的报价让利行为，损失自付。</w:t>
      </w:r>
    </w:p>
    <w:p w14:paraId="1680E5B8">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3、合同履行期间及验收过程中，采购人对供应商提交的项目成果提出修改意见的，供应商应根据采购人要求限期修改、完善到位，由此产生的费用由供应商承担。供应商未按规定进行修改、完善，且经采购人责令改正仍不修改的，采购人有权聘请第三方提供相关服务，由此产生的所有费用由供应商承担。</w:t>
      </w:r>
    </w:p>
    <w:p w14:paraId="1C3DB7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D5ABB"/>
    <w:rsid w:val="0F917E25"/>
    <w:rsid w:val="1C844F99"/>
    <w:rsid w:val="275814FC"/>
    <w:rsid w:val="2E1819E5"/>
    <w:rsid w:val="37054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Arial"/>
      <w:sz w:val="34"/>
      <w:szCs w:val="20"/>
    </w:rPr>
  </w:style>
  <w:style w:type="paragraph" w:styleId="3">
    <w:name w:val="heading 3"/>
    <w:basedOn w:val="1"/>
    <w:next w:val="1"/>
    <w:qFormat/>
    <w:uiPriority w:val="0"/>
    <w:pPr>
      <w:keepNext/>
      <w:keepLines/>
      <w:spacing w:before="320" w:after="200"/>
      <w:outlineLvl w:val="2"/>
    </w:pPr>
    <w:rPr>
      <w:rFonts w:ascii="Arial" w:hAnsi="Arial" w:eastAsia="Arial"/>
      <w:sz w:val="30"/>
      <w:szCs w:val="3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无间隔1_0_0"/>
    <w:basedOn w:val="7"/>
    <w:qFormat/>
    <w:uiPriority w:val="0"/>
    <w:rPr>
      <w:rFonts w:ascii="Times New Roman" w:hAnsi="Times New Roman"/>
      <w:szCs w:val="21"/>
    </w:rPr>
  </w:style>
  <w:style w:type="paragraph" w:customStyle="1" w:styleId="7">
    <w:name w:val="Normal_19"/>
    <w:basedOn w:val="8"/>
    <w:qFormat/>
    <w:uiPriority w:val="0"/>
    <w:rPr>
      <w:rFonts w:ascii="黑体" w:hAnsi="黑体" w:eastAsia="黑体" w:cs="黑体"/>
      <w:b w:val="0"/>
      <w:sz w:val="32"/>
      <w:szCs w:val="24"/>
      <w:lang w:val="en-US" w:eastAsia="zh-CN" w:bidi="ar-SA"/>
    </w:rPr>
  </w:style>
  <w:style w:type="paragraph" w:customStyle="1" w:styleId="8">
    <w:name w:val="正文_2_0"/>
    <w:basedOn w:val="9"/>
    <w:next w:val="9"/>
    <w:qFormat/>
    <w:uiPriority w:val="0"/>
    <w:pPr>
      <w:widowControl w:val="0"/>
      <w:jc w:val="both"/>
    </w:pPr>
    <w:rPr>
      <w:rFonts w:ascii="Calibri" w:hAnsi="Calibri"/>
      <w:sz w:val="21"/>
      <w:szCs w:val="22"/>
      <w:lang w:val="en-US" w:eastAsia="zh-CN" w:bidi="ar-SA"/>
    </w:rPr>
  </w:style>
  <w:style w:type="paragraph" w:customStyle="1" w:styleId="9">
    <w:name w:val="Normal_0_2"/>
    <w:next w:val="10"/>
    <w:qFormat/>
    <w:uiPriority w:val="0"/>
    <w:rPr>
      <w:rFonts w:ascii="黑体" w:hAnsi="黑体" w:eastAsia="黑体" w:cs="黑体"/>
      <w:b/>
      <w:sz w:val="32"/>
      <w:szCs w:val="24"/>
      <w:lang w:val="en-US" w:eastAsia="zh-CN" w:bidi="ar-SA"/>
    </w:rPr>
  </w:style>
  <w:style w:type="paragraph" w:customStyle="1" w:styleId="10">
    <w:name w:val="Body Text First Indent_1"/>
    <w:basedOn w:val="11"/>
    <w:unhideWhenUsed/>
    <w:qFormat/>
    <w:uiPriority w:val="99"/>
    <w:pPr>
      <w:spacing w:after="120"/>
      <w:ind w:firstLine="420" w:firstLineChars="100"/>
    </w:pPr>
    <w:rPr>
      <w:rFonts w:eastAsia="Times New Roman"/>
      <w:kern w:val="0"/>
      <w:sz w:val="20"/>
    </w:rPr>
  </w:style>
  <w:style w:type="paragraph" w:customStyle="1" w:styleId="11">
    <w:name w:val="Normal"/>
    <w:next w:val="12"/>
    <w:qFormat/>
    <w:uiPriority w:val="0"/>
    <w:pPr>
      <w:widowControl w:val="0"/>
      <w:jc w:val="both"/>
    </w:pPr>
    <w:rPr>
      <w:rFonts w:ascii="Times New Roman" w:hAnsi="Times New Roman" w:eastAsia="宋体" w:cs="Times New Roman"/>
      <w:szCs w:val="21"/>
      <w:lang w:val="en-US" w:eastAsia="zh-CN" w:bidi="ar-SA"/>
    </w:rPr>
  </w:style>
  <w:style w:type="paragraph" w:customStyle="1" w:styleId="12">
    <w:name w:val="Body Text First Indent1"/>
    <w:basedOn w:val="13"/>
    <w:unhideWhenUsed/>
    <w:qFormat/>
    <w:uiPriority w:val="99"/>
    <w:pPr>
      <w:ind w:firstLine="420" w:firstLineChars="100"/>
    </w:pPr>
  </w:style>
  <w:style w:type="paragraph" w:customStyle="1" w:styleId="13">
    <w:name w:val="Body Text1"/>
    <w:basedOn w:val="11"/>
    <w:unhideWhenUsed/>
    <w:qFormat/>
    <w:uiPriority w:val="99"/>
    <w:pPr>
      <w:spacing w:after="120"/>
    </w:pPr>
  </w:style>
  <w:style w:type="paragraph" w:customStyle="1" w:styleId="14">
    <w:name w:val="正文_2"/>
    <w:qFormat/>
    <w:uiPriority w:val="0"/>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2025-06-27T02:29:16Z</dcterms:created>
  <dc:creator>Administrator</dc:creator>
  <cp:lastModifiedBy>小鱼在乎</cp:lastModifiedBy>
  <dcterms:modified xsi:type="dcterms:W3CDTF">2025-06-27T02:32:08Z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eyJoZGlkIjoiNWY4YTBhYzI0Mzg2NTdmZTQ5Y2Q3ODA0ZDFmMWVkYjgiLCJ1c2VySWQiOiIzMjU0MTg5OTAifQ==</vt:lpwstr>
  </property>
  <property fmtid="{D5CDD505-2E9C-101B-9397-08002B2CF9AE}" pid="4" name="ICV">
    <vt:lpwstr>EEE7D9D6CC254A2090C929F3388A3B6A_12</vt:lpwstr>
  </property>
</Properties>
</file>